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6" o:title=""/>
          </v:shape>
          <o:OLEObject Type="Embed" ProgID="Word.Picture.8" ShapeID="_x0000_i1025" DrawAspect="Content" ObjectID="_173201836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526DE" w:rsidRDefault="00C526D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526DE">
        <w:rPr>
          <w:sz w:val="28"/>
          <w:u w:val="single"/>
          <w:lang w:val="uk-UA"/>
        </w:rPr>
        <w:t>02.12.2022</w:t>
      </w:r>
      <w:r w:rsidR="005D5B8D" w:rsidRPr="00C526DE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C526DE">
        <w:rPr>
          <w:sz w:val="28"/>
          <w:u w:val="single"/>
        </w:rPr>
        <w:t xml:space="preserve">№ </w:t>
      </w:r>
      <w:r w:rsidRPr="00C526DE">
        <w:rPr>
          <w:sz w:val="28"/>
          <w:u w:val="single"/>
          <w:lang w:val="uk-UA"/>
        </w:rPr>
        <w:t>15-10/</w:t>
      </w:r>
      <w:r w:rsidRPr="00C526DE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bookmarkStart w:id="0" w:name="_GoBack"/>
      <w:bookmarkEnd w:id="0"/>
    </w:p>
    <w:p w:rsidR="00D73D60" w:rsidRDefault="00D73D60" w:rsidP="00D73D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майна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 статті 43 Закону України «Про місцеве самоврядування в Україні», </w:t>
      </w:r>
      <w:r w:rsidRPr="00D40CD7">
        <w:rPr>
          <w:sz w:val="28"/>
          <w:szCs w:val="28"/>
          <w:lang w:val="uk-UA"/>
        </w:rPr>
        <w:t xml:space="preserve">враховуючи рішення обласної ради </w:t>
      </w:r>
      <w:r w:rsidR="00B62107">
        <w:rPr>
          <w:sz w:val="28"/>
          <w:szCs w:val="28"/>
          <w:lang w:val="uk-UA"/>
        </w:rPr>
        <w:br/>
      </w:r>
      <w:r w:rsidRPr="00D40CD7">
        <w:rPr>
          <w:sz w:val="28"/>
          <w:szCs w:val="28"/>
          <w:lang w:val="uk-UA"/>
        </w:rPr>
        <w:t>від 16.12.2016 №</w:t>
      </w:r>
      <w:r w:rsidR="00B62107">
        <w:rPr>
          <w:sz w:val="28"/>
          <w:szCs w:val="28"/>
          <w:lang w:val="uk-UA"/>
        </w:rPr>
        <w:t> </w:t>
      </w:r>
      <w:r w:rsidRPr="00D40CD7">
        <w:rPr>
          <w:sz w:val="28"/>
          <w:szCs w:val="28"/>
          <w:lang w:val="uk-UA"/>
        </w:rPr>
        <w:t>10-18/</w:t>
      </w:r>
      <w:r w:rsidRPr="00D40CD7">
        <w:rPr>
          <w:sz w:val="28"/>
          <w:szCs w:val="28"/>
          <w:lang w:val="en-US"/>
        </w:rPr>
        <w:t>VII</w:t>
      </w:r>
      <w:r w:rsidRPr="00D40CD7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</w:t>
      </w:r>
      <w:r w:rsidR="00B62107">
        <w:rPr>
          <w:sz w:val="28"/>
          <w:szCs w:val="28"/>
          <w:lang w:val="uk-UA"/>
        </w:rPr>
        <w:br/>
      </w:r>
      <w:r w:rsidRPr="00D40CD7">
        <w:rPr>
          <w:sz w:val="28"/>
          <w:szCs w:val="28"/>
          <w:lang w:val="uk-UA"/>
        </w:rPr>
        <w:t>(із змінами), від 26.11.2021 №</w:t>
      </w:r>
      <w:r w:rsidR="00B62107">
        <w:rPr>
          <w:sz w:val="28"/>
          <w:szCs w:val="28"/>
          <w:lang w:val="uk-UA"/>
        </w:rPr>
        <w:t> </w:t>
      </w:r>
      <w:r w:rsidRPr="00D40CD7">
        <w:rPr>
          <w:sz w:val="28"/>
          <w:szCs w:val="28"/>
          <w:lang w:val="uk-UA"/>
        </w:rPr>
        <w:t>9-16/</w:t>
      </w:r>
      <w:r w:rsidRPr="00D40CD7">
        <w:rPr>
          <w:sz w:val="28"/>
          <w:szCs w:val="28"/>
          <w:lang w:val="en-US"/>
        </w:rPr>
        <w:t>VIII</w:t>
      </w:r>
      <w:r w:rsidRPr="00D40CD7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</w:t>
      </w:r>
      <w:r w:rsidR="00B62107">
        <w:rPr>
          <w:sz w:val="28"/>
          <w:szCs w:val="28"/>
          <w:lang w:val="uk-UA"/>
        </w:rPr>
        <w:t>ької області», від 20.12.2019 № </w:t>
      </w:r>
      <w:r w:rsidRPr="00D40CD7">
        <w:rPr>
          <w:sz w:val="28"/>
          <w:szCs w:val="28"/>
          <w:lang w:val="uk-UA"/>
        </w:rPr>
        <w:t>34-31/</w:t>
      </w:r>
      <w:r w:rsidRPr="00D40CD7">
        <w:rPr>
          <w:sz w:val="28"/>
          <w:szCs w:val="28"/>
          <w:lang w:val="en-US"/>
        </w:rPr>
        <w:t>VII</w:t>
      </w:r>
      <w:r w:rsidRPr="00D40CD7">
        <w:rPr>
          <w:sz w:val="28"/>
          <w:szCs w:val="28"/>
          <w:lang w:val="uk-UA"/>
        </w:rPr>
        <w:t xml:space="preserve"> «Про затвердження Положення про порядок передачі об’єктів права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враховуючи рішення Катеринопільської селищної ради Звенигородського району Черкаської області від 29.11.2022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</w:t>
      </w:r>
      <w:r w:rsidR="00B62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23-1/</w:t>
      </w:r>
      <w:r>
        <w:rPr>
          <w:sz w:val="28"/>
          <w:szCs w:val="28"/>
          <w:lang w:val="en-US"/>
        </w:rPr>
        <w:t>VIII</w:t>
      </w:r>
      <w:r w:rsidRPr="00C17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надання згоди на прийняття матеріальних цінностей до комунальної власності селищної територіальної громади на баланс комунального некомерційного підприємства «Катеринопільська багатопрофільна лікарня», листи</w:t>
      </w:r>
      <w:r w:rsidRPr="002A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некомерційного підприємства «Катеринопільська багатопрофільна лікарня» від 28.11.2022 №</w:t>
      </w:r>
      <w:r w:rsidR="00B62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47, Управління охорони здоров’я Черкаської обласної державної адміністрації від 29.11.2022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</w:t>
      </w:r>
      <w:r w:rsidR="00B62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4446/02/12-01-18, Катеринопільської селищної ради Черкаської області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29.11.2022 №</w:t>
      </w:r>
      <w:r w:rsidR="00B62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1317/02-48, комунального некомерційного підприємства «Черкаський обласний кардіологічний центр Черкаської обласної ради» </w:t>
      </w:r>
      <w:r w:rsidR="003B102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30.11.2022 №</w:t>
      </w:r>
      <w:r w:rsidR="00B621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323/01-08, </w:t>
      </w:r>
      <w:r w:rsidR="00B62107">
        <w:rPr>
          <w:sz w:val="28"/>
          <w:szCs w:val="28"/>
          <w:lang w:val="uk-UA"/>
        </w:rPr>
        <w:t xml:space="preserve">обласна рада </w:t>
      </w:r>
      <w:r w:rsidR="00B62107" w:rsidRPr="00B621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 и р і ш и л а:</w:t>
      </w:r>
    </w:p>
    <w:p w:rsidR="003B1020" w:rsidRDefault="003B102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B62107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73D60">
        <w:rPr>
          <w:sz w:val="28"/>
          <w:szCs w:val="28"/>
          <w:lang w:val="uk-UA"/>
        </w:rPr>
        <w:t xml:space="preserve">Передати із спільної власності територіальних громад сіл, селищ, міст Черкаської області з балансу комунального некомерційного підприємства «Черкаський обласний кардіологічний центр Черкаської обласної ради» </w:t>
      </w:r>
      <w:r>
        <w:rPr>
          <w:sz w:val="28"/>
          <w:szCs w:val="28"/>
          <w:lang w:val="uk-UA"/>
        </w:rPr>
        <w:br/>
      </w:r>
      <w:r w:rsidR="00D73D60">
        <w:rPr>
          <w:sz w:val="28"/>
          <w:szCs w:val="28"/>
          <w:lang w:val="uk-UA"/>
        </w:rPr>
        <w:t xml:space="preserve">у комунальну власність Катеринопільської селищної територіальної громади </w:t>
      </w:r>
      <w:r>
        <w:rPr>
          <w:sz w:val="28"/>
          <w:szCs w:val="28"/>
          <w:lang w:val="uk-UA"/>
        </w:rPr>
        <w:br/>
      </w:r>
      <w:r w:rsidR="00D73D60">
        <w:rPr>
          <w:sz w:val="28"/>
          <w:szCs w:val="28"/>
          <w:lang w:val="uk-UA"/>
        </w:rPr>
        <w:t>на баланс комунального некомерційного підприємства «Катеринопільська багатопрофільна лікарня»: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ліжко функціональне в кількості 1 одиниця, 1989 року випуску, інвентарний номер 10640006, первісною вартістю 505,00 грн (п’ятсот п’ять гривень 00 копійок), залишковою вартістю 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ліжко функціональне в кількості 1 одиниця, 1988 року випуску, інвентарний номер 10640008, первісною вартістю 537,00 грн (п’ятсот тридцять сім гривень 00 копійок), залишковою вартістю 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ліжко медичне з матрацом в кількості 1 одиниця, 2001 року випуску, інвентарний номер 10470085, первісною вартістю 675,00 грн (шістсот сімдесят п’ять гривень 00 копійок</w:t>
      </w:r>
      <w:r w:rsidR="005417E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залишковою вартістю 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10471266,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10471265,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10471268,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10471269,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10471261,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грн;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ліжко функціональне </w:t>
      </w:r>
      <w:proofErr w:type="spellStart"/>
      <w:r>
        <w:rPr>
          <w:sz w:val="28"/>
          <w:szCs w:val="28"/>
          <w:lang w:val="uk-UA"/>
        </w:rPr>
        <w:t>двухсекційне</w:t>
      </w:r>
      <w:proofErr w:type="spellEnd"/>
      <w:r>
        <w:rPr>
          <w:sz w:val="28"/>
          <w:szCs w:val="28"/>
          <w:lang w:val="uk-UA"/>
        </w:rPr>
        <w:t xml:space="preserve"> в кількості 1 одиниця, 2013 року випуску, інвентарний номер 10471264, первісною вартістю 2845,00 грн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(дві тисячі вісімсот сорок п’ять гривень 00 копійок), залишковою вартістю </w:t>
      </w:r>
      <w:r w:rsidR="00B6210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 грн.</w:t>
      </w:r>
    </w:p>
    <w:p w:rsidR="00D73D60" w:rsidRDefault="00D73D60" w:rsidP="00D73D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E33C7">
        <w:rPr>
          <w:sz w:val="28"/>
          <w:szCs w:val="28"/>
          <w:lang w:val="uk-UA"/>
        </w:rPr>
        <w:t xml:space="preserve">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D73D60" w:rsidRDefault="00D73D60" w:rsidP="00D73D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 А.ПІДГОРНИЙ</w:t>
      </w:r>
    </w:p>
    <w:p w:rsidR="00D73D60" w:rsidRPr="00C17D44" w:rsidRDefault="00D73D60" w:rsidP="00D73D60">
      <w:pPr>
        <w:ind w:firstLine="567"/>
        <w:jc w:val="both"/>
        <w:rPr>
          <w:sz w:val="28"/>
          <w:szCs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C556CB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3B102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78E" w:rsidRDefault="0065678E" w:rsidP="003B1020">
      <w:r>
        <w:separator/>
      </w:r>
    </w:p>
  </w:endnote>
  <w:endnote w:type="continuationSeparator" w:id="0">
    <w:p w:rsidR="0065678E" w:rsidRDefault="0065678E" w:rsidP="003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78E" w:rsidRDefault="0065678E" w:rsidP="003B1020">
      <w:r>
        <w:separator/>
      </w:r>
    </w:p>
  </w:footnote>
  <w:footnote w:type="continuationSeparator" w:id="0">
    <w:p w:rsidR="0065678E" w:rsidRDefault="0065678E" w:rsidP="003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113699"/>
      <w:docPartObj>
        <w:docPartGallery w:val="Page Numbers (Top of Page)"/>
        <w:docPartUnique/>
      </w:docPartObj>
    </w:sdtPr>
    <w:sdtEndPr/>
    <w:sdtContent>
      <w:p w:rsidR="003B1020" w:rsidRDefault="003B1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1020" w:rsidRDefault="003B1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3B1020"/>
    <w:rsid w:val="003B5550"/>
    <w:rsid w:val="00497490"/>
    <w:rsid w:val="005417EB"/>
    <w:rsid w:val="005D5B8D"/>
    <w:rsid w:val="00607D43"/>
    <w:rsid w:val="0065678E"/>
    <w:rsid w:val="0075081E"/>
    <w:rsid w:val="00766EC8"/>
    <w:rsid w:val="007A1FBA"/>
    <w:rsid w:val="0093691C"/>
    <w:rsid w:val="00B56F3D"/>
    <w:rsid w:val="00B62107"/>
    <w:rsid w:val="00C020D0"/>
    <w:rsid w:val="00C526DE"/>
    <w:rsid w:val="00C556CB"/>
    <w:rsid w:val="00CA5172"/>
    <w:rsid w:val="00CF1750"/>
    <w:rsid w:val="00D401B8"/>
    <w:rsid w:val="00D73D60"/>
    <w:rsid w:val="00FD716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2D6B"/>
  <w15:docId w15:val="{F68BE87A-48FE-4B27-BA95-2678B88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B555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55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102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102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B1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12</cp:revision>
  <cp:lastPrinted>2022-12-08T13:26:00Z</cp:lastPrinted>
  <dcterms:created xsi:type="dcterms:W3CDTF">2018-10-08T13:46:00Z</dcterms:created>
  <dcterms:modified xsi:type="dcterms:W3CDTF">2022-12-08T13:26:00Z</dcterms:modified>
</cp:coreProperties>
</file>